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379526dc44d5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9281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LJUDEVITA GAJA, NOVA GRADIŠKA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2.091.787,72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2.284.174,65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2.058.495,95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2.424.684,61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140.509,96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32.688,67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28.770,37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32.688,67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173.198,63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Godišnje financijsko izvješće izrađeno je u sklopu proračunskog računovodstva za razdoblje od 1. siječnja do 31. prosinca 2025. Financijsko izvješće prikazuje stanje i kretanje poslovnih prihoda, rashoda, obveza i manjka prihoda u skladu s važećim propisima i smjernicama za proračunsko računovodstvo.</w:t>
      </w:r>
    </w:p>
    <w:p>
      <w:r>
        <w:t xml:space="preserve">U 2025. godini poslovni prihodi iznosili su 2.284.174,65 EUR, što predstavlja povećanje u odnosu na prethodnu godinu (2.091.787,22 EUR). Povećanje prihoda rezultat je povećanja osnovice plaće i provedbe manjih projekata tijekom izvještajnog razdoblja.</w:t>
      </w:r>
    </w:p>
    <w:p>
      <w:r>
        <w:t xml:space="preserve">S druge strane, operativni rashodi u 2025. godini iznosili su 2.424.684,61 EUR, što je povećanje u odnosu na 2024. godinu (2.058.495,95 EUR). Povećanje rashoda rezultat je povećanja osnovice plaće, priznavanja 13. plaće, provedbe manjih projekata, nabave osnovnih sredstava i povećanja cijena energenata.</w:t>
      </w:r>
    </w:p>
    <w:p>
      <w:r>
        <w:t xml:space="preserve">U 2025. godini zabilježen je manjak prihoda u iznosu od 173.198,63EUR, što se odnosi na obveze prenesene u sljedeće obračunsko razdoblje. Na dan 31. prosinca 2025. godine iskazane su ukupne obveze od 224.346,02, koje uključuju isplatu plaća za prosinac, materijalna prava zaposlenika, nabavu udžbenika za školsku godinu 2025./2026., materijalne troškove, troškove školske kuhinje i školskih programa, putne naloge i troškove usluga e-tehničara.</w:t>
      </w:r>
    </w:p>
    <w:p>
      <w:r>
        <w:t xml:space="preserve">Iskazane obveze predstavljaju redovne rashode vezane uz izvještajno razdoblje, a njihovo podmirenje planirano je u sljedećem obračunskom razdoblju. S obzirom na osigurana proračunska sredstva i redovito financiranje.</w:t>
      </w:r>
    </w:p>
    <w:p>
      <w:r>
        <w:t xml:space="preserve">Godišnje financijsko izvješće pruža cjelovit i pregledan prikaz financijskog stanja, trendova i poslovnih rezultata te služi kao temelj za daljnje planiranje i upravljanje proračunskim sredstvima.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2.091.787,72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2.284.174,65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U okviru proračunskog računovodstva, u 2024. godini poslovni prihodi ostvareni su u iznosu od 2.091.787,22 EUR, dok su u 2025. godini iznosili 2.284.174,65 EUR, što predstavlja povećanje u odnosu na prošlu godinu. Rast poslovnih prihoda rezultat je povećanja osnovice plaća i provedbe manjih projekata tijekom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2.058.495,95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2.424.684,61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U okviru proračunskog računovodstva, poslovni rashodi u 2024. godini iznosili su 2.058.495,95 EUR, dok su u 2025. godini ostvareni u iznosu od 2.424.684,61 EUR, što predstavlja povećanje. Povećanje poslovnih rashoda najvećim je dijelom rezultat povećanja osnovice plaće i priznavanja troška 13. plaće, dodatno, na povećanje rashoda utjecala je provedba manjih projekata tijekom izvještajnog razdoblja, nabava stalne imovine, kao i povećanje cijena energenata, što je povećalo troškove redovnog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18.651,26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17.121,56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91,8</w:t>
            </w:r>
          </w:p>
        </w:tc>
      </w:tr>
    </w:tbl>
    <w:p>
      <w:pPr>
        <w:spacing w:before="0" w:after="0"/>
      </w:pPr>
    </w:p>
    <w:p>
      <w:r>
        <w:t xml:space="preserve">Naknade građanima i kućanstvima temeljem osiguranja i drugih davanja ostvarene su u sklopu financiranja troškova prijevoza za učenike s teškoćama u razvoju koji koriste usluge ovlaštenih prijevoznika ili individualnog prijevoza. Osim toga, spomenute naknade odnose se i na učenike slabijeg imovinskog statusa koji ostvaruju pravo na zajamčenu minimalnu naknadu, u skladu s važećim propisima.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171.143,14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poslovnoj godini 2025. ostvaren je manjak prihoda u iznosu od 173.316,59 EUR. Navedeni manjak se najvećim dijelom odnosi na obveze koje se prenose u sljedeće obračunsko razdoblje, a uključuju isplatu plaća za prosinac 2025., materijalna prava zaposlenika za prosinac 2025., kupnju udžbenika za školsku godinu 2025./2026., kao i podmirenje materijalnih troškova za prosinac 2025., dodatno, manjak prihoda uključuje troškove školske kuhinje i školskog programa za prosinac 2025., putne naloge i troškove usluge e-tehničara.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30.153,68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iskazane su obveze u ukupnom iznosu od 224.346,02 EUR. Navedene obveze u cijelosti se odnose na preuzete i nepodmirene obveze iz tekuće poslovne godine i uključuju isplatu plaće za prosinac 2025. (25.12.), materijalna prava zaposlenika za prosinac 2025., nabavu udžbenika za školsku godinu 2025./2026., materijalne troškove za prosinac 2025., troškove školske kuhinje i školskog programa za prosinac 2025., putne naloge i troškove usluge e-tehničara. Stanje obveza dospjelih na plaćanje do 31.12.2025. iznosi 30.153,68, a nakon 31.12.2025. 194.192,34 EUR. Obveze za stjecanje nefinancijske imovine do 31.12.2025. iznosile su 24.859,58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194.192,34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 iskazane su obveze u ukupnom iznosu od 224.346,02. Navedene obveze odnose se na preuzete obveze, a do kraja izvještajnog razdoblja i na nepodmirene obveze nastale u sklopu redovnog poslovanja. Struktura obveza uključuje isplatu plaća za prosinac 2025. godine, materijalna prava zaposlenika za prosinac 2025. godine, nabavu udžbenika za školsku godinu 2025./2026., prijevoz učenika s teškoćama u razvoju za studeni i prosinac, kao i materijalne troškove za prosinac 2025. godine.</w:t>
      </w:r>
    </w:p>
    <w:p>
      <w:r>
        <w:t xml:space="preserve">Osim toga, obveze uključuju troškove školske kuhinje i školskog programa za prosinac 2025., putne naloge zaposlenika i troškove usluge e-tehničara. Iskazane obveze predstavljaju redovne rashode koji su vremenski vezani uz izvještajno razdoblje, a njihovo podmirenje planirano je u sljedećem obračunskom razdoblju. S obzirom na osigurana proračunska sredstva i redovito financiranje, navedene obveze ne utječu na sposobnost proračunskog korisnika da nastavi kontinuitet poslovanja.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7b35b965e549d7" /></Relationships>
</file>